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43" w:rsidRPr="002950E5" w:rsidRDefault="00D32343" w:rsidP="00083857">
      <w:pPr>
        <w:pStyle w:val="Heading2"/>
        <w:jc w:val="right"/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</w:pPr>
      <w:bookmarkStart w:id="0" w:name="_Toc435686842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Anexa </w:t>
      </w:r>
      <w:r w:rsidR="000854D4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1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– </w:t>
      </w:r>
      <w:r w:rsidR="005433EF"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Grila de verificare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</w:t>
      </w:r>
    </w:p>
    <w:p w:rsidR="00D32343" w:rsidRPr="002950E5" w:rsidRDefault="00D32343" w:rsidP="00F81309">
      <w:pPr>
        <w:pStyle w:val="Heading4"/>
        <w:rPr>
          <w:rFonts w:ascii="Trebuchet MS" w:hAnsi="Trebuchet MS" w:cs="Arial"/>
          <w:color w:val="1F497D" w:themeColor="text2"/>
          <w:sz w:val="22"/>
          <w:szCs w:val="22"/>
          <w:lang w:val="ro-RO"/>
        </w:rPr>
      </w:pPr>
      <w:bookmarkStart w:id="1" w:name="_Toc435686843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 xml:space="preserve">A1. Criterii de verificare  a conformității </w:t>
      </w:r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>administrative</w:t>
      </w:r>
      <w:bookmarkEnd w:id="1"/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243"/>
        <w:gridCol w:w="4442"/>
        <w:gridCol w:w="5857"/>
      </w:tblGrid>
      <w:tr w:rsidR="00AD6716" w:rsidRPr="002950E5" w:rsidTr="00AD6716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:rsidR="00AD6716" w:rsidRPr="002950E5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:rsidR="00AD6716" w:rsidRPr="002950E5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633" w:type="pct"/>
            <w:gridSpan w:val="2"/>
            <w:shd w:val="clear" w:color="auto" w:fill="DBE5F1"/>
            <w:vAlign w:val="center"/>
          </w:tcPr>
          <w:p w:rsidR="00AD6716" w:rsidRPr="002950E5" w:rsidRDefault="00AD6716" w:rsidP="00AD6716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:rsidR="00B62250" w:rsidRPr="002950E5" w:rsidRDefault="00B62250" w:rsidP="00B62250">
            <w:pPr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 xml:space="preserve">Cererea de finanțare conține toate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anexele solicitate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:rsidR="00D32343" w:rsidRPr="002950E5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:rsidR="00B62250" w:rsidRPr="002950E5" w:rsidRDefault="00B62250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Cererea de finanțare este însoțită de toate anexele solicitate in Orientări privind accesarea finanțărilor în cadrul Programului Operațional Capital Uman 2014-2020 si de Ghidul Solicitantului Conditii Specifice.</w:t>
            </w:r>
          </w:p>
          <w:p w:rsidR="00D32343" w:rsidRPr="002950E5" w:rsidRDefault="00D32343" w:rsidP="00AD6716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:rsidR="00F074C3" w:rsidRPr="00AD6716" w:rsidRDefault="00F074C3" w:rsidP="00347D4E">
            <w:pPr>
              <w:pStyle w:val="ListParagraph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AD6716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Documente încarcate  de solicitant </w:t>
            </w:r>
            <w:r w:rsidR="003079B9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în sistemul M</w:t>
            </w:r>
            <w:r w:rsidRPr="00AD6716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ySMIS</w:t>
            </w:r>
          </w:p>
          <w:p w:rsidR="0071220F" w:rsidRDefault="0071220F" w:rsidP="00347D4E">
            <w:pPr>
              <w:jc w:val="both"/>
              <w:rPr>
                <w:rFonts w:ascii="Trebuchet MS" w:eastAsia="Calibri" w:hAnsi="Trebuchet MS" w:cs="Arial"/>
                <w:i/>
                <w:color w:val="1F497D" w:themeColor="text2"/>
                <w:sz w:val="22"/>
                <w:szCs w:val="22"/>
                <w:lang w:val="ro-RO"/>
              </w:rPr>
            </w:pPr>
            <w:r w:rsidRPr="00AD6716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1.Documentul Unic pentru verificarea Conformității Administrative și a Eligibilității (DUCAE) pentru Solicitant/Lider - Anexa nr. 2 </w:t>
            </w:r>
            <w:r w:rsidR="00AD6716" w:rsidRPr="00AD6716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la </w:t>
            </w:r>
            <w:r w:rsidRPr="00AD6716">
              <w:rPr>
                <w:rFonts w:ascii="Trebuchet MS" w:eastAsia="Calibri" w:hAnsi="Trebuchet MS" w:cs="Arial"/>
                <w:i/>
                <w:color w:val="1F497D" w:themeColor="text2"/>
                <w:sz w:val="22"/>
                <w:szCs w:val="22"/>
                <w:lang w:val="ro-RO"/>
              </w:rPr>
              <w:t>Orientări privind accesarea finanțărilor în cadrul Programului Operațional Capital Uman 2014-2020</w:t>
            </w:r>
          </w:p>
          <w:p w:rsidR="00653A84" w:rsidRPr="00AD6716" w:rsidRDefault="00653A84" w:rsidP="00347D4E">
            <w:pPr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D32343" w:rsidRPr="00AD6716" w:rsidRDefault="0071220F" w:rsidP="00347D4E">
            <w:pPr>
              <w:spacing w:before="120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 w:eastAsia="ro-RO"/>
              </w:rPr>
            </w:pPr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>Se verifica daca aceste anexe exista si daca respecta conditiile de forma si fond prevazute in documentul Orientãri privind accesarea finanțãrilor în cadrul POCU 2014-2020 cu modificarile si completarile ulterioare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2.</w:t>
            </w:r>
          </w:p>
        </w:tc>
        <w:tc>
          <w:tcPr>
            <w:tcW w:w="1144" w:type="pct"/>
            <w:vAlign w:val="center"/>
          </w:tcPr>
          <w:p w:rsidR="00D32343" w:rsidRPr="002950E5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Cererea de finanțare este semnat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tre reprezentantul legal</w:t>
            </w:r>
            <w:r w:rsidR="004D6B6A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sau de împuternicitul acestuia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:rsidR="00D32343" w:rsidRPr="002950E5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dac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066" w:type="pct"/>
          </w:tcPr>
          <w:p w:rsidR="00D32343" w:rsidRPr="002950E5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</w:tbl>
    <w:p w:rsidR="00D32343" w:rsidRPr="002950E5" w:rsidRDefault="00D32343" w:rsidP="00F81309">
      <w:pPr>
        <w:pStyle w:val="Heading4"/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</w:pPr>
      <w:bookmarkStart w:id="2" w:name="_Toc435686844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5"/>
        <w:gridCol w:w="4192"/>
        <w:gridCol w:w="3401"/>
        <w:gridCol w:w="5998"/>
      </w:tblGrid>
      <w:tr w:rsidR="00413594" w:rsidRPr="002950E5" w:rsidTr="00413594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413594" w:rsidRPr="002950E5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:rsidR="00413594" w:rsidRPr="002950E5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283" w:type="pct"/>
            <w:gridSpan w:val="2"/>
            <w:shd w:val="clear" w:color="auto" w:fill="BFBFBF"/>
            <w:vAlign w:val="center"/>
          </w:tcPr>
          <w:p w:rsidR="00413594" w:rsidRPr="002950E5" w:rsidRDefault="00413594" w:rsidP="0041359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</w:t>
            </w:r>
          </w:p>
        </w:tc>
      </w:tr>
      <w:tr w:rsidR="002950E5" w:rsidRPr="002950E5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:rsidR="00D32343" w:rsidRPr="002950E5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partenerii, daca este cazul,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fac parte din categoria de beneficiari eligibili și îndepline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083857" w:rsidRPr="002950E5" w:rsidRDefault="007D2F0B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-  Solicitantul fac</w:t>
            </w:r>
            <w:r w:rsidR="00435AA1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e</w:t>
            </w: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parte din categoriile de beneficiari eligibili </w:t>
            </w:r>
            <w:r w:rsidR="00DA1209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menționate</w:t>
            </w: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în Ghidul Solicitantului - Condiții Specifice.</w:t>
            </w:r>
          </w:p>
          <w:p w:rsidR="007D2F0B" w:rsidRDefault="00083857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- 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Solicitantul este legal constituit si are domeniul/domeniile de activitate corespunzator activitatilor pe care le va desfasura in proiect</w:t>
            </w:r>
          </w:p>
          <w:p w:rsidR="00D32343" w:rsidRPr="002950E5" w:rsidRDefault="00D32343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</w:pPr>
          </w:p>
        </w:tc>
      </w:tr>
      <w:tr w:rsidR="002950E5" w:rsidRPr="002950E5" w:rsidTr="007D2F0B">
        <w:tc>
          <w:tcPr>
            <w:tcW w:w="2905" w:type="pct"/>
            <w:gridSpan w:val="3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Eligibilitatea proiectului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:rsidR="003243C0" w:rsidRPr="002D559C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propus spre finanțare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aceleași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aceiași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dublă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finanțare)?</w:t>
            </w:r>
            <w:bookmarkStart w:id="3" w:name="_GoBack"/>
            <w:bookmarkEnd w:id="3"/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3243C0" w:rsidRPr="002950E5" w:rsidRDefault="00BF4B7E" w:rsidP="003243C0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 a declarat în Declarația privind evitarea dublei finanțări</w:t>
            </w:r>
            <w:r w:rsidR="00D80DE3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că  proiectul propus spre finanțare (activitățile proiectului, cu aceleaşi rezultate, pentru aceiaşi membri ai grupului ţintă) NU a mai beneficiat de sprijin financiar din fonduri nerambursabile.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toate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plățile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:rsidR="009612FD" w:rsidRPr="002950E5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7331A1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7331A1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D4136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 a bifat NU în cererea de finanțare (în vederea respectării dispozițiilor art. 65 alin. (6) din Reg. CE nr. 1303/2013 privind eligibilitatea cheltuielilor). Ulterior, dacă a bifat și DEMARAT, se verifică dacă a precizat că a respectat legislația relevantă aplicabilă proiectului, conform art.125, alin 3, lit. (e) din Reg. CE nr. 1303/2013.</w:t>
            </w:r>
          </w:p>
          <w:p w:rsidR="007331A1" w:rsidRPr="002950E5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se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FD21C5" w:rsidRPr="002950E5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D32343" w:rsidRPr="002950E5" w:rsidRDefault="00985A4C" w:rsidP="00DC5169">
            <w:pPr>
              <w:spacing w:before="120" w:after="12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Proiectul este încadrat în axa prioritară, prioritatea de investiţii, obiectivul specific, indicatorii de realizare imediată şi de rezultat și măsurile relevante, conform POCU şi Ghidului Solicitantului.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eligibil?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597BE6" w:rsidRDefault="00597BE6" w:rsidP="00083857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Grupul țintă al proiectului  se încadreaza în categoriile eligibile menționate în Ghidul Solic</w:t>
            </w:r>
            <w:r w:rsidR="00083857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itantului - Condiții Specifice</w:t>
            </w:r>
            <w:r w:rsidR="003E18E0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  <w:p w:rsidR="003E18E0" w:rsidRPr="002950E5" w:rsidRDefault="003E18E0" w:rsidP="003E18E0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985A4C" w:rsidRPr="002950E5" w:rsidTr="00812218">
        <w:tc>
          <w:tcPr>
            <w:tcW w:w="253" w:type="pct"/>
            <w:vAlign w:val="center"/>
          </w:tcPr>
          <w:p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Pr="002950E5">
              <w:rPr>
                <w:rFonts w:ascii="Trebuchet MS" w:eastAsia="Calibri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</w:tcPr>
          <w:p w:rsidR="00985A4C" w:rsidRDefault="00985A4C" w:rsidP="00985A4C"/>
        </w:tc>
        <w:tc>
          <w:tcPr>
            <w:tcW w:w="2095" w:type="pct"/>
          </w:tcPr>
          <w:p w:rsidR="00985A4C" w:rsidRDefault="00DA1209" w:rsidP="00985A4C">
            <w:r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totală a proiectului 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(daca este cazul) si valoarea asistenței financiare nerambursabile solicitate se </w:t>
            </w:r>
            <w:r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înscriu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limitele stabilite în Ghidul Solicitantului - Condiții Specifice.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9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D32343" w:rsidRPr="002950E5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048D1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Durata de implementare a proiectului se încadrează în durata maximă prevăzută în Ghidul solicitantului - condiții specifice.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985A4C" w:rsidRDefault="00985A4C" w:rsidP="00AE380A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1A268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Valoarea cheltuielilor indirecte</w:t>
            </w:r>
            <w:r w:rsidR="00F65DD7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(cheltuieli generale de administratie)</w:t>
            </w:r>
            <w:r w:rsidRPr="001A268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nu depășește procentul de 15% din costurile directe eligibile</w:t>
            </w:r>
          </w:p>
          <w:p w:rsidR="007331A1" w:rsidRPr="002950E5" w:rsidRDefault="007331A1" w:rsidP="004B2BAC">
            <w:pP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Bugetul proiectului respectă rata de cofinanţare?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985A4C" w:rsidRPr="002950E5" w:rsidRDefault="00D32343" w:rsidP="00985A4C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contribuției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proprie minima pentru </w:t>
            </w:r>
            <w:r w:rsidR="00B16340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conform prevederilor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hidului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Solicitantului -C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ondi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ii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</w:t>
            </w:r>
            <w:r w:rsidR="00985A4C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obligatorii?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122C7C" w:rsidRPr="002950E5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highlight w:val="yellow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trebuie să cuprindă cel puțin activitățile obligatorii, prevăzute în Ghidul Solicitantului.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:rsidR="000D1166" w:rsidRPr="002950E5" w:rsidRDefault="000D1166" w:rsidP="00985A4C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:rsidR="000D1166" w:rsidRPr="004B2BAC" w:rsidRDefault="007331A1" w:rsidP="007331A1">
            <w:pPr>
              <w:spacing w:before="120" w:after="12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4B2BAC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Conform Metodologiei de verificare, evaluare şi selecție a proiectelor, cererea de finanțare trebuie să descrie activitățile obligatorii de informare și publicitate proiect (criteriu de eligibilitate proiect) prevăzute în Orientări privind accesarea finanțărilor în cadrul Programului Operațional Capital Uman 2014-2020, Capitolul 9 „Informare și publicitate”.</w:t>
            </w:r>
          </w:p>
        </w:tc>
      </w:tr>
    </w:tbl>
    <w:p w:rsidR="00D32343" w:rsidRPr="002950E5" w:rsidRDefault="00DF1994">
      <w:pPr>
        <w:rPr>
          <w:rFonts w:ascii="Trebuchet MS" w:hAnsi="Trebuchet MS"/>
          <w:color w:val="1F497D" w:themeColor="text2"/>
          <w:sz w:val="22"/>
          <w:szCs w:val="22"/>
          <w:lang w:val="ro-RO"/>
        </w:rPr>
      </w:pPr>
      <w:r w:rsidRPr="00DF1994">
        <w:rPr>
          <w:rFonts w:ascii="Trebuchet MS" w:hAnsi="Trebuchet MS"/>
          <w:color w:val="1F497D" w:themeColor="text2"/>
          <w:sz w:val="22"/>
          <w:szCs w:val="22"/>
          <w:lang w:val="ro-RO"/>
        </w:rPr>
        <w:t>NB: Prevederile prezentei grile de evaluare se completează şi se interpretează în conformitate cu prevederile documentului Orientări privind accesarea finanțărilor în cadrul programului Operațional Capital Uman 2014-2020, cu modificarile si completarile ulterioare şi în conformitate cu prevederile Ghidului Solicitantului – Conditii Specifice aferent prezentului apel de proiecte.</w:t>
      </w:r>
    </w:p>
    <w:sectPr w:rsidR="00D32343" w:rsidRPr="002950E5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632" w:rsidRDefault="00BC4632" w:rsidP="00F81309">
      <w:r>
        <w:separator/>
      </w:r>
    </w:p>
  </w:endnote>
  <w:endnote w:type="continuationSeparator" w:id="0">
    <w:p w:rsidR="00BC4632" w:rsidRDefault="00BC4632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632" w:rsidRDefault="00BC4632" w:rsidP="00F81309">
      <w:r>
        <w:separator/>
      </w:r>
    </w:p>
  </w:footnote>
  <w:footnote w:type="continuationSeparator" w:id="0">
    <w:p w:rsidR="00BC4632" w:rsidRDefault="00BC4632" w:rsidP="00F8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9D"/>
    <w:rsid w:val="00027B9B"/>
    <w:rsid w:val="000335F9"/>
    <w:rsid w:val="00037A23"/>
    <w:rsid w:val="000451CD"/>
    <w:rsid w:val="0004768E"/>
    <w:rsid w:val="0005248F"/>
    <w:rsid w:val="00060EB2"/>
    <w:rsid w:val="00063F50"/>
    <w:rsid w:val="000661D0"/>
    <w:rsid w:val="000770A3"/>
    <w:rsid w:val="00083857"/>
    <w:rsid w:val="000854D4"/>
    <w:rsid w:val="000C6DCE"/>
    <w:rsid w:val="000D1166"/>
    <w:rsid w:val="000D3FE3"/>
    <w:rsid w:val="00102C66"/>
    <w:rsid w:val="00122C7C"/>
    <w:rsid w:val="0013275A"/>
    <w:rsid w:val="00132DD8"/>
    <w:rsid w:val="0014591A"/>
    <w:rsid w:val="00172B35"/>
    <w:rsid w:val="00173A4F"/>
    <w:rsid w:val="00174745"/>
    <w:rsid w:val="00180C97"/>
    <w:rsid w:val="00193D91"/>
    <w:rsid w:val="001E65E4"/>
    <w:rsid w:val="001F577B"/>
    <w:rsid w:val="002020B8"/>
    <w:rsid w:val="002048D1"/>
    <w:rsid w:val="00220E87"/>
    <w:rsid w:val="002250C1"/>
    <w:rsid w:val="00245D69"/>
    <w:rsid w:val="0025739B"/>
    <w:rsid w:val="00262E6B"/>
    <w:rsid w:val="0029394C"/>
    <w:rsid w:val="002950E5"/>
    <w:rsid w:val="00297F45"/>
    <w:rsid w:val="002A2260"/>
    <w:rsid w:val="002B716B"/>
    <w:rsid w:val="002D559C"/>
    <w:rsid w:val="002E4072"/>
    <w:rsid w:val="0030207A"/>
    <w:rsid w:val="003079B9"/>
    <w:rsid w:val="00320AC8"/>
    <w:rsid w:val="0032288E"/>
    <w:rsid w:val="003243C0"/>
    <w:rsid w:val="003278A0"/>
    <w:rsid w:val="00347D4E"/>
    <w:rsid w:val="00382CC9"/>
    <w:rsid w:val="00394F10"/>
    <w:rsid w:val="003D0391"/>
    <w:rsid w:val="003E18E0"/>
    <w:rsid w:val="003E5104"/>
    <w:rsid w:val="003F46D3"/>
    <w:rsid w:val="00413594"/>
    <w:rsid w:val="0042092E"/>
    <w:rsid w:val="00423087"/>
    <w:rsid w:val="00435AA1"/>
    <w:rsid w:val="0045237B"/>
    <w:rsid w:val="004B07D0"/>
    <w:rsid w:val="004B2BAC"/>
    <w:rsid w:val="004B6853"/>
    <w:rsid w:val="004D4F0F"/>
    <w:rsid w:val="004D64E1"/>
    <w:rsid w:val="004D6B6A"/>
    <w:rsid w:val="004F497D"/>
    <w:rsid w:val="00537E8A"/>
    <w:rsid w:val="005433EF"/>
    <w:rsid w:val="00597BE6"/>
    <w:rsid w:val="005C1D73"/>
    <w:rsid w:val="005C2D54"/>
    <w:rsid w:val="0060195D"/>
    <w:rsid w:val="00615992"/>
    <w:rsid w:val="00625DE6"/>
    <w:rsid w:val="00631BAD"/>
    <w:rsid w:val="00653A84"/>
    <w:rsid w:val="006C02EE"/>
    <w:rsid w:val="00710328"/>
    <w:rsid w:val="0071220F"/>
    <w:rsid w:val="007331A1"/>
    <w:rsid w:val="0074306D"/>
    <w:rsid w:val="007857DE"/>
    <w:rsid w:val="007A31D7"/>
    <w:rsid w:val="007A439D"/>
    <w:rsid w:val="007C01A9"/>
    <w:rsid w:val="007D2F0B"/>
    <w:rsid w:val="007E29B8"/>
    <w:rsid w:val="008508CF"/>
    <w:rsid w:val="00873238"/>
    <w:rsid w:val="008835BF"/>
    <w:rsid w:val="008D477D"/>
    <w:rsid w:val="008E37AE"/>
    <w:rsid w:val="009155BF"/>
    <w:rsid w:val="00926327"/>
    <w:rsid w:val="009612FD"/>
    <w:rsid w:val="00973A5B"/>
    <w:rsid w:val="00985A4C"/>
    <w:rsid w:val="009F0808"/>
    <w:rsid w:val="009F1D9C"/>
    <w:rsid w:val="009F319B"/>
    <w:rsid w:val="00A17B2A"/>
    <w:rsid w:val="00A21364"/>
    <w:rsid w:val="00A25821"/>
    <w:rsid w:val="00A61596"/>
    <w:rsid w:val="00A9504D"/>
    <w:rsid w:val="00AA2F16"/>
    <w:rsid w:val="00AA7226"/>
    <w:rsid w:val="00AB1E45"/>
    <w:rsid w:val="00AD6716"/>
    <w:rsid w:val="00AE29D8"/>
    <w:rsid w:val="00AE380A"/>
    <w:rsid w:val="00B041F8"/>
    <w:rsid w:val="00B16340"/>
    <w:rsid w:val="00B26F53"/>
    <w:rsid w:val="00B62250"/>
    <w:rsid w:val="00B71BDD"/>
    <w:rsid w:val="00B94F01"/>
    <w:rsid w:val="00BC2821"/>
    <w:rsid w:val="00BC4632"/>
    <w:rsid w:val="00BD4E24"/>
    <w:rsid w:val="00BF0A14"/>
    <w:rsid w:val="00BF1A8D"/>
    <w:rsid w:val="00BF4B7E"/>
    <w:rsid w:val="00C005F3"/>
    <w:rsid w:val="00C00D3F"/>
    <w:rsid w:val="00C40E17"/>
    <w:rsid w:val="00C57234"/>
    <w:rsid w:val="00C77BB4"/>
    <w:rsid w:val="00CF3E62"/>
    <w:rsid w:val="00D21BCB"/>
    <w:rsid w:val="00D32343"/>
    <w:rsid w:val="00D41366"/>
    <w:rsid w:val="00D80DE3"/>
    <w:rsid w:val="00D85F72"/>
    <w:rsid w:val="00DA1209"/>
    <w:rsid w:val="00DB53AB"/>
    <w:rsid w:val="00DC4B2C"/>
    <w:rsid w:val="00DC5169"/>
    <w:rsid w:val="00DD3D46"/>
    <w:rsid w:val="00DF1994"/>
    <w:rsid w:val="00E03DD3"/>
    <w:rsid w:val="00E10D8A"/>
    <w:rsid w:val="00E10E76"/>
    <w:rsid w:val="00E22FC0"/>
    <w:rsid w:val="00E30551"/>
    <w:rsid w:val="00E73AFA"/>
    <w:rsid w:val="00E74527"/>
    <w:rsid w:val="00E9542E"/>
    <w:rsid w:val="00EB199E"/>
    <w:rsid w:val="00EC4495"/>
    <w:rsid w:val="00EE57A7"/>
    <w:rsid w:val="00EE5CD0"/>
    <w:rsid w:val="00F07156"/>
    <w:rsid w:val="00F074C3"/>
    <w:rsid w:val="00F106AB"/>
    <w:rsid w:val="00F26950"/>
    <w:rsid w:val="00F3130E"/>
    <w:rsid w:val="00F403B2"/>
    <w:rsid w:val="00F441BF"/>
    <w:rsid w:val="00F60E96"/>
    <w:rsid w:val="00F65DD7"/>
    <w:rsid w:val="00F6653D"/>
    <w:rsid w:val="00F81309"/>
    <w:rsid w:val="00F91857"/>
    <w:rsid w:val="00FC6CB9"/>
    <w:rsid w:val="00FD21C5"/>
    <w:rsid w:val="00FD2259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Anda-Marina Badulescu</dc:creator>
  <cp:lastModifiedBy>Daniel Chitoi</cp:lastModifiedBy>
  <cp:revision>4</cp:revision>
  <dcterms:created xsi:type="dcterms:W3CDTF">2020-09-17T08:55:00Z</dcterms:created>
  <dcterms:modified xsi:type="dcterms:W3CDTF">2020-09-17T08:55:00Z</dcterms:modified>
</cp:coreProperties>
</file>